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E4" w:rsidRDefault="00997E96">
      <w:r>
        <w:rPr>
          <w:noProof/>
          <w:lang w:val="en-ZA" w:eastAsia="en-ZA"/>
        </w:rPr>
        <w:drawing>
          <wp:inline distT="0" distB="0" distL="0" distR="0">
            <wp:extent cx="5991225" cy="4048125"/>
            <wp:effectExtent l="0" t="0" r="9525" b="9525"/>
            <wp:docPr id="1" name="Picture 1" descr="\\uthu-fs01\Usershares\Pieter\Documents\My Pictur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hu-fs01\Usershares\Pieter\Documents\My Pictures\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4048125"/>
                    </a:xfrm>
                    <a:prstGeom prst="rect">
                      <a:avLst/>
                    </a:prstGeom>
                    <a:noFill/>
                    <a:ln>
                      <a:noFill/>
                    </a:ln>
                  </pic:spPr>
                </pic:pic>
              </a:graphicData>
            </a:graphic>
          </wp:inline>
        </w:drawing>
      </w:r>
    </w:p>
    <w:p w:rsidR="00997E96" w:rsidRDefault="00997E96">
      <w:bookmarkStart w:id="0" w:name="_GoBack"/>
      <w:bookmarkEnd w:id="0"/>
    </w:p>
    <w:p w:rsidR="00997E96" w:rsidRDefault="00997E96"/>
    <w:p w:rsidR="00997E96" w:rsidRDefault="00997E96"/>
    <w:p w:rsidR="00997E96" w:rsidRDefault="000F6B83" w:rsidP="00997E96">
      <w:pPr>
        <w:jc w:val="center"/>
        <w:rPr>
          <w:sz w:val="72"/>
          <w:szCs w:val="72"/>
        </w:rPr>
      </w:pPr>
      <w:r>
        <w:rPr>
          <w:sz w:val="72"/>
          <w:szCs w:val="72"/>
        </w:rPr>
        <w:t xml:space="preserve">Budget </w:t>
      </w:r>
      <w:r w:rsidR="00997E96" w:rsidRPr="00997E96">
        <w:rPr>
          <w:sz w:val="72"/>
          <w:szCs w:val="72"/>
        </w:rPr>
        <w:t>Funding and Reserves Policy</w:t>
      </w:r>
    </w:p>
    <w:p w:rsidR="001750C9" w:rsidRPr="00997E96" w:rsidRDefault="001750C9" w:rsidP="00997E96">
      <w:pPr>
        <w:jc w:val="center"/>
        <w:rPr>
          <w:sz w:val="72"/>
          <w:szCs w:val="72"/>
        </w:rPr>
      </w:pPr>
      <w:r>
        <w:rPr>
          <w:sz w:val="72"/>
          <w:szCs w:val="72"/>
        </w:rPr>
        <w:t>20</w:t>
      </w:r>
      <w:r w:rsidR="007B43F2">
        <w:rPr>
          <w:sz w:val="72"/>
          <w:szCs w:val="72"/>
        </w:rPr>
        <w:t>21/22</w:t>
      </w:r>
    </w:p>
    <w:p w:rsidR="00997E96" w:rsidRDefault="00997E96" w:rsidP="00997E96">
      <w:pPr>
        <w:jc w:val="center"/>
        <w:rPr>
          <w:sz w:val="56"/>
          <w:szCs w:val="56"/>
        </w:rPr>
      </w:pPr>
    </w:p>
    <w:p w:rsidR="00997E96" w:rsidRPr="00997E96" w:rsidRDefault="00113C7B" w:rsidP="00B65C9A">
      <w:pPr>
        <w:jc w:val="both"/>
        <w:rPr>
          <w:sz w:val="48"/>
          <w:szCs w:val="48"/>
        </w:rPr>
      </w:pPr>
      <w:r>
        <w:rPr>
          <w:sz w:val="48"/>
          <w:szCs w:val="48"/>
        </w:rPr>
        <w:lastRenderedPageBreak/>
        <w:t xml:space="preserve">BUDGET </w:t>
      </w:r>
      <w:r w:rsidR="00997E96" w:rsidRPr="00997E96">
        <w:rPr>
          <w:sz w:val="48"/>
          <w:szCs w:val="48"/>
        </w:rPr>
        <w:t>FUNDING AND RESERVES POLICY</w:t>
      </w:r>
    </w:p>
    <w:p w:rsidR="00997E96" w:rsidRPr="00265EAD" w:rsidRDefault="00997E96" w:rsidP="00B65C9A">
      <w:pPr>
        <w:jc w:val="both"/>
        <w:rPr>
          <w:b/>
          <w:sz w:val="28"/>
          <w:szCs w:val="28"/>
        </w:rPr>
      </w:pPr>
      <w:r w:rsidRPr="00265EAD">
        <w:rPr>
          <w:b/>
          <w:sz w:val="28"/>
          <w:szCs w:val="28"/>
        </w:rPr>
        <w:t>LEGISLATIVE CONTEXT</w:t>
      </w:r>
    </w:p>
    <w:p w:rsidR="00997E96" w:rsidRDefault="00997E96" w:rsidP="00B65C9A">
      <w:pPr>
        <w:jc w:val="both"/>
        <w:rPr>
          <w:sz w:val="28"/>
          <w:szCs w:val="28"/>
        </w:rPr>
      </w:pPr>
      <w:r>
        <w:rPr>
          <w:sz w:val="28"/>
          <w:szCs w:val="28"/>
        </w:rPr>
        <w:t>This policy is mandated by section 8 of the Local Government: Municipal Budget and Reporting Regulations which is made in terms of section 168 of the Municipal Finance Management Act, 2003, (Act No. 56 of 2003).</w:t>
      </w:r>
    </w:p>
    <w:p w:rsidR="00997E96" w:rsidRPr="00265EAD" w:rsidRDefault="00997E96" w:rsidP="00B65C9A">
      <w:pPr>
        <w:jc w:val="both"/>
        <w:rPr>
          <w:b/>
          <w:sz w:val="28"/>
          <w:szCs w:val="28"/>
        </w:rPr>
      </w:pPr>
      <w:r w:rsidRPr="00265EAD">
        <w:rPr>
          <w:b/>
          <w:sz w:val="28"/>
          <w:szCs w:val="28"/>
        </w:rPr>
        <w:t>OBJECTIVE</w:t>
      </w:r>
    </w:p>
    <w:p w:rsidR="00027ACB" w:rsidRDefault="00027ACB" w:rsidP="00B65C9A">
      <w:pPr>
        <w:jc w:val="both"/>
        <w:rPr>
          <w:sz w:val="28"/>
          <w:szCs w:val="28"/>
        </w:rPr>
      </w:pPr>
      <w:r>
        <w:rPr>
          <w:sz w:val="28"/>
          <w:szCs w:val="28"/>
        </w:rPr>
        <w:t>To ensure that the operating and capital budgets of the municipality are appropriately funded.</w:t>
      </w:r>
    </w:p>
    <w:p w:rsidR="00B6776C" w:rsidRDefault="00027ACB" w:rsidP="00B65C9A">
      <w:pPr>
        <w:jc w:val="both"/>
        <w:rPr>
          <w:sz w:val="28"/>
          <w:szCs w:val="28"/>
        </w:rPr>
      </w:pPr>
      <w:r>
        <w:rPr>
          <w:sz w:val="28"/>
          <w:szCs w:val="28"/>
        </w:rPr>
        <w:t>To ensure that provisions and reserves are maintained at the required levels</w:t>
      </w:r>
      <w:r w:rsidR="00B6776C">
        <w:rPr>
          <w:sz w:val="28"/>
          <w:szCs w:val="28"/>
        </w:rPr>
        <w:t>.</w:t>
      </w:r>
    </w:p>
    <w:p w:rsidR="00027ACB" w:rsidRDefault="00B6776C" w:rsidP="00B65C9A">
      <w:pPr>
        <w:jc w:val="both"/>
        <w:rPr>
          <w:sz w:val="28"/>
          <w:szCs w:val="28"/>
        </w:rPr>
      </w:pPr>
      <w:r>
        <w:rPr>
          <w:sz w:val="28"/>
          <w:szCs w:val="28"/>
        </w:rPr>
        <w:t>T</w:t>
      </w:r>
      <w:r w:rsidR="00027ACB">
        <w:rPr>
          <w:sz w:val="28"/>
          <w:szCs w:val="28"/>
        </w:rPr>
        <w:t xml:space="preserve">o </w:t>
      </w:r>
      <w:r>
        <w:rPr>
          <w:sz w:val="28"/>
          <w:szCs w:val="28"/>
        </w:rPr>
        <w:t>avoid</w:t>
      </w:r>
      <w:r w:rsidR="00027ACB">
        <w:rPr>
          <w:sz w:val="28"/>
          <w:szCs w:val="28"/>
        </w:rPr>
        <w:t xml:space="preserve"> future year unfunded liabilities.</w:t>
      </w:r>
    </w:p>
    <w:p w:rsidR="00997E96" w:rsidRDefault="00027ACB" w:rsidP="00B65C9A">
      <w:pPr>
        <w:jc w:val="both"/>
        <w:rPr>
          <w:sz w:val="28"/>
          <w:szCs w:val="28"/>
        </w:rPr>
      </w:pPr>
      <w:r>
        <w:rPr>
          <w:sz w:val="28"/>
          <w:szCs w:val="28"/>
        </w:rPr>
        <w:t>T</w:t>
      </w:r>
      <w:r w:rsidR="00997E96">
        <w:rPr>
          <w:sz w:val="28"/>
          <w:szCs w:val="28"/>
        </w:rPr>
        <w:t>o set out the assumptions and methodology for estimating the following:</w:t>
      </w:r>
    </w:p>
    <w:p w:rsidR="00997E96" w:rsidRDefault="00791C89" w:rsidP="00B65C9A">
      <w:pPr>
        <w:pStyle w:val="ListParagraph"/>
        <w:numPr>
          <w:ilvl w:val="0"/>
          <w:numId w:val="1"/>
        </w:numPr>
        <w:jc w:val="both"/>
        <w:rPr>
          <w:sz w:val="28"/>
          <w:szCs w:val="28"/>
        </w:rPr>
      </w:pPr>
      <w:r>
        <w:rPr>
          <w:sz w:val="28"/>
          <w:szCs w:val="28"/>
        </w:rPr>
        <w:t>Projected billings, collections and all direct revenues.</w:t>
      </w:r>
    </w:p>
    <w:p w:rsidR="00791C89" w:rsidRDefault="00791C89" w:rsidP="00B65C9A">
      <w:pPr>
        <w:pStyle w:val="ListParagraph"/>
        <w:numPr>
          <w:ilvl w:val="0"/>
          <w:numId w:val="1"/>
        </w:numPr>
        <w:jc w:val="both"/>
        <w:rPr>
          <w:sz w:val="28"/>
          <w:szCs w:val="28"/>
        </w:rPr>
      </w:pPr>
      <w:r>
        <w:rPr>
          <w:sz w:val="28"/>
          <w:szCs w:val="28"/>
        </w:rPr>
        <w:t>The provision for revenue which will not be collected.</w:t>
      </w:r>
    </w:p>
    <w:p w:rsidR="00791C89" w:rsidRDefault="00791C89" w:rsidP="00B65C9A">
      <w:pPr>
        <w:pStyle w:val="ListParagraph"/>
        <w:numPr>
          <w:ilvl w:val="0"/>
          <w:numId w:val="1"/>
        </w:numPr>
        <w:jc w:val="both"/>
        <w:rPr>
          <w:sz w:val="28"/>
          <w:szCs w:val="28"/>
        </w:rPr>
      </w:pPr>
      <w:r>
        <w:rPr>
          <w:sz w:val="28"/>
          <w:szCs w:val="28"/>
        </w:rPr>
        <w:t xml:space="preserve">The funds the municipality can expect </w:t>
      </w:r>
      <w:r w:rsidR="00265EAD">
        <w:rPr>
          <w:sz w:val="28"/>
          <w:szCs w:val="28"/>
        </w:rPr>
        <w:t>to receive from investments.</w:t>
      </w:r>
    </w:p>
    <w:p w:rsidR="00265EAD" w:rsidRDefault="00265EAD" w:rsidP="00B65C9A">
      <w:pPr>
        <w:pStyle w:val="ListParagraph"/>
        <w:numPr>
          <w:ilvl w:val="0"/>
          <w:numId w:val="1"/>
        </w:numPr>
        <w:jc w:val="both"/>
        <w:rPr>
          <w:sz w:val="28"/>
          <w:szCs w:val="28"/>
        </w:rPr>
      </w:pPr>
      <w:r>
        <w:rPr>
          <w:sz w:val="28"/>
          <w:szCs w:val="28"/>
        </w:rPr>
        <w:t>The dividends to municipality can expect to receive from municipal entities.</w:t>
      </w:r>
    </w:p>
    <w:p w:rsidR="00265EAD" w:rsidRDefault="00265EAD" w:rsidP="00B65C9A">
      <w:pPr>
        <w:pStyle w:val="ListParagraph"/>
        <w:numPr>
          <w:ilvl w:val="0"/>
          <w:numId w:val="1"/>
        </w:numPr>
        <w:jc w:val="both"/>
        <w:rPr>
          <w:sz w:val="28"/>
          <w:szCs w:val="28"/>
        </w:rPr>
      </w:pPr>
      <w:r>
        <w:rPr>
          <w:sz w:val="28"/>
          <w:szCs w:val="28"/>
        </w:rPr>
        <w:t>The proceeds the municipality can expect to receive from the transfer or disposal of assets.</w:t>
      </w:r>
    </w:p>
    <w:p w:rsidR="00265EAD" w:rsidRDefault="00265EAD" w:rsidP="00B65C9A">
      <w:pPr>
        <w:pStyle w:val="ListParagraph"/>
        <w:numPr>
          <w:ilvl w:val="0"/>
          <w:numId w:val="1"/>
        </w:numPr>
        <w:jc w:val="both"/>
        <w:rPr>
          <w:sz w:val="28"/>
          <w:szCs w:val="28"/>
        </w:rPr>
      </w:pPr>
      <w:r>
        <w:rPr>
          <w:sz w:val="28"/>
          <w:szCs w:val="28"/>
        </w:rPr>
        <w:t>The municipality’s borrowing requirements.</w:t>
      </w:r>
    </w:p>
    <w:p w:rsidR="00265EAD" w:rsidRDefault="00265EAD" w:rsidP="00B65C9A">
      <w:pPr>
        <w:pStyle w:val="ListParagraph"/>
        <w:numPr>
          <w:ilvl w:val="0"/>
          <w:numId w:val="1"/>
        </w:numPr>
        <w:jc w:val="both"/>
        <w:rPr>
          <w:sz w:val="28"/>
          <w:szCs w:val="28"/>
        </w:rPr>
      </w:pPr>
      <w:r w:rsidRPr="00265EAD">
        <w:rPr>
          <w:sz w:val="28"/>
          <w:szCs w:val="28"/>
        </w:rPr>
        <w:t>The funds to be set aside in reserves.</w:t>
      </w:r>
    </w:p>
    <w:p w:rsidR="00265EAD" w:rsidRPr="00265EAD" w:rsidRDefault="00265EAD" w:rsidP="00B65C9A">
      <w:pPr>
        <w:jc w:val="both"/>
        <w:rPr>
          <w:b/>
          <w:sz w:val="28"/>
          <w:szCs w:val="28"/>
        </w:rPr>
      </w:pPr>
      <w:r w:rsidRPr="00265EAD">
        <w:rPr>
          <w:b/>
          <w:sz w:val="28"/>
          <w:szCs w:val="28"/>
        </w:rPr>
        <w:t>GUIDING PRINCIPLES</w:t>
      </w:r>
    </w:p>
    <w:p w:rsidR="00027ACB" w:rsidRDefault="00027ACB" w:rsidP="00B65C9A">
      <w:pPr>
        <w:jc w:val="both"/>
        <w:rPr>
          <w:sz w:val="28"/>
          <w:szCs w:val="28"/>
        </w:rPr>
      </w:pPr>
      <w:r>
        <w:rPr>
          <w:sz w:val="28"/>
          <w:szCs w:val="28"/>
        </w:rPr>
        <w:t>The budget may be financed only from:</w:t>
      </w:r>
    </w:p>
    <w:p w:rsidR="00027ACB" w:rsidRDefault="00027ACB" w:rsidP="00027ACB">
      <w:pPr>
        <w:pStyle w:val="ListParagraph"/>
        <w:numPr>
          <w:ilvl w:val="0"/>
          <w:numId w:val="4"/>
        </w:numPr>
        <w:jc w:val="both"/>
        <w:rPr>
          <w:sz w:val="28"/>
          <w:szCs w:val="28"/>
        </w:rPr>
      </w:pPr>
      <w:r>
        <w:rPr>
          <w:sz w:val="28"/>
          <w:szCs w:val="28"/>
        </w:rPr>
        <w:t>Realistic expected revenues based on current and previous collection levels.</w:t>
      </w:r>
    </w:p>
    <w:p w:rsidR="00027ACB" w:rsidRPr="00027ACB" w:rsidRDefault="00027ACB" w:rsidP="00027ACB">
      <w:pPr>
        <w:pStyle w:val="ListParagraph"/>
        <w:numPr>
          <w:ilvl w:val="0"/>
          <w:numId w:val="4"/>
        </w:numPr>
        <w:jc w:val="both"/>
        <w:rPr>
          <w:sz w:val="28"/>
          <w:szCs w:val="28"/>
        </w:rPr>
      </w:pPr>
      <w:r>
        <w:rPr>
          <w:sz w:val="28"/>
          <w:szCs w:val="28"/>
        </w:rPr>
        <w:t>Cash-backed funds available from previous surpluses where such funds are not required for other purposes, and borrowed funds in respect of the capital budget only.</w:t>
      </w:r>
    </w:p>
    <w:p w:rsidR="00265EAD" w:rsidRDefault="00265EAD" w:rsidP="00B65C9A">
      <w:pPr>
        <w:jc w:val="both"/>
        <w:rPr>
          <w:sz w:val="28"/>
          <w:szCs w:val="28"/>
        </w:rPr>
      </w:pPr>
      <w:r>
        <w:rPr>
          <w:sz w:val="28"/>
          <w:szCs w:val="28"/>
        </w:rPr>
        <w:t>The municipality’s Funding and Reserves Policy is based on the following principles:</w:t>
      </w:r>
    </w:p>
    <w:p w:rsidR="00265EAD" w:rsidRDefault="00265EAD" w:rsidP="00B65C9A">
      <w:pPr>
        <w:pStyle w:val="ListParagraph"/>
        <w:numPr>
          <w:ilvl w:val="0"/>
          <w:numId w:val="2"/>
        </w:numPr>
        <w:jc w:val="both"/>
        <w:rPr>
          <w:sz w:val="28"/>
          <w:szCs w:val="28"/>
        </w:rPr>
      </w:pPr>
      <w:r>
        <w:rPr>
          <w:sz w:val="28"/>
          <w:szCs w:val="28"/>
        </w:rPr>
        <w:lastRenderedPageBreak/>
        <w:t>Affordability.</w:t>
      </w:r>
    </w:p>
    <w:p w:rsidR="00265EAD" w:rsidRDefault="00265EAD" w:rsidP="00B65C9A">
      <w:pPr>
        <w:pStyle w:val="ListParagraph"/>
        <w:numPr>
          <w:ilvl w:val="0"/>
          <w:numId w:val="2"/>
        </w:numPr>
        <w:jc w:val="both"/>
        <w:rPr>
          <w:sz w:val="28"/>
          <w:szCs w:val="28"/>
        </w:rPr>
      </w:pPr>
      <w:r>
        <w:rPr>
          <w:sz w:val="28"/>
          <w:szCs w:val="28"/>
        </w:rPr>
        <w:t>Financial sustainability.</w:t>
      </w:r>
    </w:p>
    <w:p w:rsidR="00265EAD" w:rsidRDefault="00265EAD" w:rsidP="00B65C9A">
      <w:pPr>
        <w:pStyle w:val="ListParagraph"/>
        <w:numPr>
          <w:ilvl w:val="0"/>
          <w:numId w:val="2"/>
        </w:numPr>
        <w:jc w:val="both"/>
        <w:rPr>
          <w:sz w:val="28"/>
          <w:szCs w:val="28"/>
        </w:rPr>
      </w:pPr>
      <w:r>
        <w:rPr>
          <w:sz w:val="28"/>
          <w:szCs w:val="28"/>
        </w:rPr>
        <w:t>Equity.</w:t>
      </w:r>
    </w:p>
    <w:p w:rsidR="00265EAD" w:rsidRDefault="00265EAD" w:rsidP="00B65C9A">
      <w:pPr>
        <w:pStyle w:val="ListParagraph"/>
        <w:numPr>
          <w:ilvl w:val="0"/>
          <w:numId w:val="2"/>
        </w:numPr>
        <w:jc w:val="both"/>
        <w:rPr>
          <w:sz w:val="28"/>
          <w:szCs w:val="28"/>
        </w:rPr>
      </w:pPr>
      <w:r>
        <w:rPr>
          <w:sz w:val="28"/>
          <w:szCs w:val="28"/>
        </w:rPr>
        <w:t>Efficiency.</w:t>
      </w:r>
    </w:p>
    <w:p w:rsidR="00265EAD" w:rsidRPr="00265EAD" w:rsidRDefault="00265EAD" w:rsidP="00B65C9A">
      <w:pPr>
        <w:jc w:val="both"/>
        <w:rPr>
          <w:b/>
          <w:sz w:val="28"/>
          <w:szCs w:val="28"/>
        </w:rPr>
      </w:pPr>
      <w:r w:rsidRPr="00265EAD">
        <w:rPr>
          <w:b/>
          <w:sz w:val="28"/>
          <w:szCs w:val="28"/>
        </w:rPr>
        <w:t>UNDERLYING POLICIES AND APPLICATION</w:t>
      </w:r>
    </w:p>
    <w:p w:rsidR="00265EAD" w:rsidRDefault="00265EAD" w:rsidP="00B65C9A">
      <w:pPr>
        <w:jc w:val="both"/>
        <w:rPr>
          <w:b/>
          <w:sz w:val="28"/>
          <w:szCs w:val="28"/>
        </w:rPr>
      </w:pPr>
      <w:r w:rsidRPr="00265EAD">
        <w:rPr>
          <w:b/>
          <w:sz w:val="28"/>
          <w:szCs w:val="28"/>
        </w:rPr>
        <w:t>Projected billing, collections and direct revenue</w:t>
      </w:r>
    </w:p>
    <w:p w:rsidR="00265EAD" w:rsidRDefault="00265EAD" w:rsidP="00B65C9A">
      <w:pPr>
        <w:jc w:val="both"/>
        <w:rPr>
          <w:sz w:val="28"/>
          <w:szCs w:val="28"/>
        </w:rPr>
      </w:pPr>
      <w:r w:rsidRPr="00265EAD">
        <w:rPr>
          <w:sz w:val="28"/>
          <w:szCs w:val="28"/>
        </w:rPr>
        <w:t>These projections are prepared in accordance to the following annual approved Council policies:</w:t>
      </w:r>
    </w:p>
    <w:p w:rsidR="00265EAD" w:rsidRDefault="00265EAD" w:rsidP="00B65C9A">
      <w:pPr>
        <w:jc w:val="both"/>
        <w:rPr>
          <w:sz w:val="28"/>
          <w:szCs w:val="28"/>
        </w:rPr>
      </w:pPr>
      <w:r>
        <w:rPr>
          <w:sz w:val="28"/>
          <w:szCs w:val="28"/>
        </w:rPr>
        <w:t>The credit Control Policy, Debt Collection and Indigent Policy. The objectives of these policies are as follows:</w:t>
      </w:r>
    </w:p>
    <w:p w:rsidR="00265EAD" w:rsidRDefault="00265EAD" w:rsidP="00B65C9A">
      <w:pPr>
        <w:pStyle w:val="ListParagraph"/>
        <w:numPr>
          <w:ilvl w:val="0"/>
          <w:numId w:val="3"/>
        </w:numPr>
        <w:jc w:val="both"/>
        <w:rPr>
          <w:sz w:val="28"/>
          <w:szCs w:val="28"/>
        </w:rPr>
      </w:pPr>
      <w:r>
        <w:rPr>
          <w:sz w:val="28"/>
          <w:szCs w:val="28"/>
        </w:rPr>
        <w:t>Focus on all outstanding debt as raised on the debtor’s account.</w:t>
      </w:r>
    </w:p>
    <w:p w:rsidR="00265EAD" w:rsidRDefault="00265EAD" w:rsidP="00B65C9A">
      <w:pPr>
        <w:pStyle w:val="ListParagraph"/>
        <w:numPr>
          <w:ilvl w:val="0"/>
          <w:numId w:val="3"/>
        </w:numPr>
        <w:jc w:val="both"/>
        <w:rPr>
          <w:sz w:val="28"/>
          <w:szCs w:val="28"/>
        </w:rPr>
      </w:pPr>
      <w:r>
        <w:rPr>
          <w:sz w:val="28"/>
          <w:szCs w:val="28"/>
        </w:rPr>
        <w:t>Provide for a common credit control and debt collection policy.</w:t>
      </w:r>
    </w:p>
    <w:p w:rsidR="00265EAD" w:rsidRDefault="00265EAD" w:rsidP="00B65C9A">
      <w:pPr>
        <w:pStyle w:val="ListParagraph"/>
        <w:numPr>
          <w:ilvl w:val="0"/>
          <w:numId w:val="3"/>
        </w:numPr>
        <w:jc w:val="both"/>
        <w:rPr>
          <w:sz w:val="28"/>
          <w:szCs w:val="28"/>
        </w:rPr>
      </w:pPr>
      <w:r>
        <w:rPr>
          <w:sz w:val="28"/>
          <w:szCs w:val="28"/>
        </w:rPr>
        <w:t>Promote a culture of good payment habits amongst debtors and instill a sense of responsibility towards the payment of accounts and reducing municipal debt.</w:t>
      </w:r>
    </w:p>
    <w:p w:rsidR="00265EAD" w:rsidRDefault="00265EAD" w:rsidP="00B65C9A">
      <w:pPr>
        <w:pStyle w:val="ListParagraph"/>
        <w:numPr>
          <w:ilvl w:val="0"/>
          <w:numId w:val="3"/>
        </w:numPr>
        <w:jc w:val="both"/>
        <w:rPr>
          <w:sz w:val="28"/>
          <w:szCs w:val="28"/>
        </w:rPr>
      </w:pPr>
      <w:r>
        <w:rPr>
          <w:sz w:val="28"/>
          <w:szCs w:val="28"/>
        </w:rPr>
        <w:t>Subject to the principles provided for in this policy, use innovative, cost effective, efficient and appropriate methods to collect as much of the debt in the shortest possible time without any interference in the process.</w:t>
      </w:r>
    </w:p>
    <w:p w:rsidR="00265EAD" w:rsidRDefault="00265EAD" w:rsidP="00B65C9A">
      <w:pPr>
        <w:pStyle w:val="ListParagraph"/>
        <w:numPr>
          <w:ilvl w:val="0"/>
          <w:numId w:val="3"/>
        </w:numPr>
        <w:jc w:val="both"/>
        <w:rPr>
          <w:sz w:val="28"/>
          <w:szCs w:val="28"/>
        </w:rPr>
      </w:pPr>
      <w:r>
        <w:rPr>
          <w:sz w:val="28"/>
          <w:szCs w:val="28"/>
        </w:rPr>
        <w:t>Effectively and efficiently deal with defaulters in accordance with the terms and conditions of this policy.</w:t>
      </w:r>
    </w:p>
    <w:p w:rsidR="00265EAD" w:rsidRDefault="00265EAD" w:rsidP="00B65C9A">
      <w:pPr>
        <w:jc w:val="both"/>
        <w:rPr>
          <w:sz w:val="28"/>
          <w:szCs w:val="28"/>
        </w:rPr>
      </w:pPr>
      <w:r>
        <w:rPr>
          <w:sz w:val="28"/>
          <w:szCs w:val="28"/>
        </w:rPr>
        <w:t>Tariff policy which guides the annual setting (or revision) of tariffs, hence the policy</w:t>
      </w:r>
      <w:r w:rsidR="006E6F91">
        <w:rPr>
          <w:sz w:val="28"/>
          <w:szCs w:val="28"/>
        </w:rPr>
        <w:t xml:space="preserve"> </w:t>
      </w:r>
      <w:r w:rsidR="004A722D">
        <w:rPr>
          <w:sz w:val="28"/>
          <w:szCs w:val="28"/>
        </w:rPr>
        <w:t>does not make</w:t>
      </w:r>
      <w:r w:rsidR="006E6F91">
        <w:rPr>
          <w:sz w:val="28"/>
          <w:szCs w:val="28"/>
        </w:rPr>
        <w:t xml:space="preserve"> specific tariff proposals, nor does it deal in any detail with the implementation of specific tariff proposals. The policy is applicable to all tariffs for w</w:t>
      </w:r>
      <w:r w:rsidR="004A722D">
        <w:rPr>
          <w:sz w:val="28"/>
          <w:szCs w:val="28"/>
        </w:rPr>
        <w:t>ater and sanitation</w:t>
      </w:r>
      <w:r w:rsidR="006E6F91">
        <w:rPr>
          <w:sz w:val="28"/>
          <w:szCs w:val="28"/>
        </w:rPr>
        <w:t xml:space="preserve"> provided by the </w:t>
      </w:r>
      <w:r w:rsidR="007B43F2">
        <w:rPr>
          <w:sz w:val="28"/>
          <w:szCs w:val="28"/>
        </w:rPr>
        <w:t>UThukela</w:t>
      </w:r>
      <w:r w:rsidR="006E6F91">
        <w:rPr>
          <w:sz w:val="28"/>
          <w:szCs w:val="28"/>
        </w:rPr>
        <w:t xml:space="preserve"> District Municipality. This policy is also applicable to all sundry tariffs.</w:t>
      </w:r>
    </w:p>
    <w:p w:rsidR="001750C9" w:rsidRDefault="001750C9" w:rsidP="00B65C9A">
      <w:pPr>
        <w:jc w:val="both"/>
        <w:rPr>
          <w:sz w:val="28"/>
          <w:szCs w:val="28"/>
        </w:rPr>
      </w:pPr>
    </w:p>
    <w:p w:rsidR="006E6F91" w:rsidRDefault="006E6F91" w:rsidP="00B65C9A">
      <w:pPr>
        <w:jc w:val="both"/>
        <w:rPr>
          <w:b/>
          <w:sz w:val="28"/>
          <w:szCs w:val="28"/>
        </w:rPr>
      </w:pPr>
      <w:r>
        <w:rPr>
          <w:b/>
          <w:sz w:val="28"/>
          <w:szCs w:val="28"/>
        </w:rPr>
        <w:t>The provision for revenue which will not be collected</w:t>
      </w:r>
    </w:p>
    <w:p w:rsidR="006E6F91" w:rsidRDefault="006E6F91" w:rsidP="00B65C9A">
      <w:pPr>
        <w:jc w:val="both"/>
        <w:rPr>
          <w:sz w:val="28"/>
          <w:szCs w:val="28"/>
        </w:rPr>
      </w:pPr>
      <w:r>
        <w:rPr>
          <w:sz w:val="28"/>
          <w:szCs w:val="28"/>
        </w:rPr>
        <w:lastRenderedPageBreak/>
        <w:t>The Bad Debt Provision Policy, which is reviewed annually, underpins the manner in which the municipality makes provision for revenue that will not be collected within a financial year.</w:t>
      </w:r>
    </w:p>
    <w:p w:rsidR="006C61A0" w:rsidRDefault="006C61A0" w:rsidP="00B65C9A">
      <w:pPr>
        <w:jc w:val="both"/>
        <w:rPr>
          <w:b/>
          <w:sz w:val="28"/>
          <w:szCs w:val="28"/>
        </w:rPr>
      </w:pPr>
      <w:r>
        <w:rPr>
          <w:b/>
          <w:sz w:val="28"/>
          <w:szCs w:val="28"/>
        </w:rPr>
        <w:t>The funds the municipality can expect to receive from investments</w:t>
      </w:r>
    </w:p>
    <w:p w:rsidR="006C61A0" w:rsidRDefault="006C61A0" w:rsidP="00B65C9A">
      <w:pPr>
        <w:jc w:val="both"/>
        <w:rPr>
          <w:sz w:val="28"/>
          <w:szCs w:val="28"/>
        </w:rPr>
      </w:pPr>
      <w:r w:rsidRPr="006C61A0">
        <w:rPr>
          <w:sz w:val="28"/>
          <w:szCs w:val="28"/>
        </w:rPr>
        <w:t>The municipality has a Cash Management and Investment Policy which purpose is to secure the sound and sustainable management of the municipality’s surplus cash and investments.</w:t>
      </w:r>
    </w:p>
    <w:p w:rsidR="002018E3" w:rsidRDefault="002018E3" w:rsidP="00B65C9A">
      <w:pPr>
        <w:jc w:val="both"/>
        <w:rPr>
          <w:sz w:val="28"/>
          <w:szCs w:val="28"/>
        </w:rPr>
      </w:pPr>
      <w:r>
        <w:rPr>
          <w:sz w:val="28"/>
          <w:szCs w:val="28"/>
        </w:rPr>
        <w:t>It is calculated based on the budgeted cash-flow, taking into consideration the timing of anticipated inflow and outflows of cash during the year.</w:t>
      </w:r>
    </w:p>
    <w:p w:rsidR="002018E3" w:rsidRDefault="002018E3" w:rsidP="00B65C9A">
      <w:pPr>
        <w:jc w:val="both"/>
        <w:rPr>
          <w:b/>
          <w:sz w:val="28"/>
          <w:szCs w:val="28"/>
        </w:rPr>
      </w:pPr>
      <w:r>
        <w:rPr>
          <w:b/>
          <w:sz w:val="28"/>
          <w:szCs w:val="28"/>
        </w:rPr>
        <w:t>The dividends the municipality can expect to receive from municipal entities</w:t>
      </w:r>
    </w:p>
    <w:p w:rsidR="002018E3" w:rsidRDefault="002018E3" w:rsidP="00B65C9A">
      <w:pPr>
        <w:jc w:val="both"/>
        <w:rPr>
          <w:sz w:val="28"/>
          <w:szCs w:val="28"/>
        </w:rPr>
      </w:pPr>
      <w:r w:rsidRPr="002018E3">
        <w:rPr>
          <w:sz w:val="28"/>
          <w:szCs w:val="28"/>
        </w:rPr>
        <w:t>This is not applicable to the municipality as no dividends are received from any entities.</w:t>
      </w:r>
    </w:p>
    <w:p w:rsidR="002018E3" w:rsidRDefault="002018E3" w:rsidP="00B65C9A">
      <w:pPr>
        <w:jc w:val="both"/>
        <w:rPr>
          <w:b/>
          <w:sz w:val="28"/>
          <w:szCs w:val="28"/>
        </w:rPr>
      </w:pPr>
      <w:r>
        <w:rPr>
          <w:b/>
          <w:sz w:val="28"/>
          <w:szCs w:val="28"/>
        </w:rPr>
        <w:t>The proceeds the municipality can expect to receive from the transfer or disposal of assets.</w:t>
      </w:r>
    </w:p>
    <w:p w:rsidR="002018E3" w:rsidRDefault="002018E3" w:rsidP="00B65C9A">
      <w:pPr>
        <w:jc w:val="both"/>
        <w:rPr>
          <w:sz w:val="28"/>
          <w:szCs w:val="28"/>
        </w:rPr>
      </w:pPr>
      <w:r>
        <w:rPr>
          <w:sz w:val="28"/>
          <w:szCs w:val="28"/>
        </w:rPr>
        <w:t>This methodology is governed by the Asset Management Policy and the Supply Chain Management Policy.</w:t>
      </w:r>
    </w:p>
    <w:p w:rsidR="002018E3" w:rsidRDefault="002018E3" w:rsidP="00B65C9A">
      <w:pPr>
        <w:jc w:val="both"/>
        <w:rPr>
          <w:b/>
          <w:sz w:val="28"/>
          <w:szCs w:val="28"/>
        </w:rPr>
      </w:pPr>
      <w:r>
        <w:rPr>
          <w:b/>
          <w:sz w:val="28"/>
          <w:szCs w:val="28"/>
        </w:rPr>
        <w:t>The municipality’s borrowing requirements.</w:t>
      </w:r>
    </w:p>
    <w:p w:rsidR="002018E3" w:rsidRDefault="002018E3" w:rsidP="00B65C9A">
      <w:pPr>
        <w:jc w:val="both"/>
        <w:rPr>
          <w:sz w:val="28"/>
          <w:szCs w:val="28"/>
        </w:rPr>
      </w:pPr>
      <w:r>
        <w:rPr>
          <w:sz w:val="28"/>
          <w:szCs w:val="28"/>
        </w:rPr>
        <w:t>The municipality’s borrowing requirements are determined in accordance with the municipality’s affordability thereof.</w:t>
      </w:r>
    </w:p>
    <w:p w:rsidR="00027ACB" w:rsidRDefault="00027ACB" w:rsidP="00B65C9A">
      <w:pPr>
        <w:jc w:val="both"/>
        <w:rPr>
          <w:b/>
          <w:sz w:val="28"/>
          <w:szCs w:val="28"/>
        </w:rPr>
      </w:pPr>
      <w:r>
        <w:rPr>
          <w:b/>
          <w:sz w:val="28"/>
          <w:szCs w:val="28"/>
        </w:rPr>
        <w:t>Capital replacement reserve (CRR)</w:t>
      </w:r>
    </w:p>
    <w:p w:rsidR="00027ACB" w:rsidRDefault="00027ACB" w:rsidP="00B65C9A">
      <w:pPr>
        <w:jc w:val="both"/>
        <w:rPr>
          <w:sz w:val="28"/>
          <w:szCs w:val="28"/>
        </w:rPr>
      </w:pPr>
      <w:r w:rsidRPr="00027ACB">
        <w:rPr>
          <w:sz w:val="28"/>
          <w:szCs w:val="28"/>
        </w:rPr>
        <w:t>The municipality shall establish a CRR for the purposes of financing capital projects and the acquisition of assets.</w:t>
      </w:r>
    </w:p>
    <w:p w:rsidR="00027ACB" w:rsidRDefault="00027ACB" w:rsidP="00B65C9A">
      <w:pPr>
        <w:jc w:val="both"/>
        <w:rPr>
          <w:sz w:val="28"/>
          <w:szCs w:val="28"/>
        </w:rPr>
      </w:pPr>
      <w:r>
        <w:rPr>
          <w:sz w:val="28"/>
          <w:szCs w:val="28"/>
        </w:rPr>
        <w:t>Such reserves shall be established from the following sources of revenue:</w:t>
      </w:r>
    </w:p>
    <w:p w:rsidR="00027ACB" w:rsidRDefault="00CA4E42" w:rsidP="00027ACB">
      <w:pPr>
        <w:pStyle w:val="ListParagraph"/>
        <w:numPr>
          <w:ilvl w:val="0"/>
          <w:numId w:val="5"/>
        </w:numPr>
        <w:jc w:val="both"/>
        <w:rPr>
          <w:sz w:val="28"/>
          <w:szCs w:val="28"/>
        </w:rPr>
      </w:pPr>
      <w:r>
        <w:rPr>
          <w:sz w:val="28"/>
          <w:szCs w:val="28"/>
        </w:rPr>
        <w:t>Un-appropriated cash-backed surpluses to the extent that such surpluses are not required for operational purposes.</w:t>
      </w:r>
    </w:p>
    <w:p w:rsidR="00CA4E42" w:rsidRDefault="00CA4E42" w:rsidP="00027ACB">
      <w:pPr>
        <w:pStyle w:val="ListParagraph"/>
        <w:numPr>
          <w:ilvl w:val="0"/>
          <w:numId w:val="5"/>
        </w:numPr>
        <w:jc w:val="both"/>
        <w:rPr>
          <w:sz w:val="28"/>
          <w:szCs w:val="28"/>
        </w:rPr>
      </w:pPr>
      <w:r>
        <w:rPr>
          <w:sz w:val="28"/>
          <w:szCs w:val="28"/>
        </w:rPr>
        <w:lastRenderedPageBreak/>
        <w:t>Interest on the investment of the CRR, appropriated in terms of the investment policy.</w:t>
      </w:r>
    </w:p>
    <w:p w:rsidR="00CA4E42" w:rsidRDefault="00CA4E42" w:rsidP="00027ACB">
      <w:pPr>
        <w:pStyle w:val="ListParagraph"/>
        <w:numPr>
          <w:ilvl w:val="0"/>
          <w:numId w:val="5"/>
        </w:numPr>
        <w:jc w:val="both"/>
        <w:rPr>
          <w:sz w:val="28"/>
          <w:szCs w:val="28"/>
        </w:rPr>
      </w:pPr>
      <w:r>
        <w:rPr>
          <w:sz w:val="28"/>
          <w:szCs w:val="28"/>
        </w:rPr>
        <w:t>Additional amounts appropriated as contributions in each annual or adjustment budget.</w:t>
      </w:r>
    </w:p>
    <w:p w:rsidR="00CA4E42" w:rsidRDefault="00CA4E42" w:rsidP="00027ACB">
      <w:pPr>
        <w:pStyle w:val="ListParagraph"/>
        <w:numPr>
          <w:ilvl w:val="0"/>
          <w:numId w:val="5"/>
        </w:numPr>
        <w:jc w:val="both"/>
        <w:rPr>
          <w:sz w:val="28"/>
          <w:szCs w:val="28"/>
        </w:rPr>
      </w:pPr>
      <w:r>
        <w:rPr>
          <w:sz w:val="28"/>
          <w:szCs w:val="28"/>
        </w:rPr>
        <w:t>Before any assets can be financed from the CRR the financing must be available within the reserve and available as cash as this fund must be cash-backed.</w:t>
      </w:r>
    </w:p>
    <w:p w:rsidR="00CA4E42" w:rsidRPr="00027ACB" w:rsidRDefault="00CA4E42" w:rsidP="00027ACB">
      <w:pPr>
        <w:pStyle w:val="ListParagraph"/>
        <w:numPr>
          <w:ilvl w:val="0"/>
          <w:numId w:val="5"/>
        </w:numPr>
        <w:jc w:val="both"/>
        <w:rPr>
          <w:sz w:val="28"/>
          <w:szCs w:val="28"/>
        </w:rPr>
      </w:pPr>
      <w:r>
        <w:rPr>
          <w:sz w:val="28"/>
          <w:szCs w:val="28"/>
        </w:rPr>
        <w:t>If there is insufficient cash available to fund the CRR this reserve fund must then be adjusted to equal the available cash.</w:t>
      </w:r>
    </w:p>
    <w:p w:rsidR="002018E3" w:rsidRDefault="002018E3" w:rsidP="00B65C9A">
      <w:pPr>
        <w:jc w:val="both"/>
        <w:rPr>
          <w:b/>
          <w:sz w:val="28"/>
          <w:szCs w:val="28"/>
        </w:rPr>
      </w:pPr>
      <w:r>
        <w:rPr>
          <w:b/>
          <w:sz w:val="28"/>
          <w:szCs w:val="28"/>
        </w:rPr>
        <w:t>The funds to be set aside in reserves.</w:t>
      </w:r>
    </w:p>
    <w:p w:rsidR="002018E3" w:rsidRPr="002018E3" w:rsidRDefault="00B65C9A" w:rsidP="00B65C9A">
      <w:pPr>
        <w:jc w:val="both"/>
        <w:rPr>
          <w:sz w:val="28"/>
          <w:szCs w:val="28"/>
        </w:rPr>
      </w:pPr>
      <w:r>
        <w:rPr>
          <w:sz w:val="28"/>
          <w:szCs w:val="28"/>
        </w:rPr>
        <w:t>The funds to be set aside in reserves are subject to affordability.</w:t>
      </w:r>
    </w:p>
    <w:p w:rsidR="002018E3" w:rsidRPr="002018E3" w:rsidRDefault="002018E3" w:rsidP="00B65C9A">
      <w:pPr>
        <w:jc w:val="both"/>
        <w:rPr>
          <w:b/>
          <w:sz w:val="28"/>
          <w:szCs w:val="28"/>
        </w:rPr>
      </w:pPr>
    </w:p>
    <w:p w:rsidR="002018E3" w:rsidRPr="006C61A0" w:rsidRDefault="002018E3" w:rsidP="00B65C9A">
      <w:pPr>
        <w:jc w:val="both"/>
        <w:rPr>
          <w:sz w:val="28"/>
          <w:szCs w:val="28"/>
        </w:rPr>
      </w:pPr>
    </w:p>
    <w:p w:rsidR="006E6F91" w:rsidRPr="006E6F91" w:rsidRDefault="006E6F91" w:rsidP="00B65C9A">
      <w:pPr>
        <w:jc w:val="both"/>
        <w:rPr>
          <w:sz w:val="28"/>
          <w:szCs w:val="28"/>
        </w:rPr>
      </w:pPr>
    </w:p>
    <w:p w:rsidR="006E6F91" w:rsidRPr="00265EAD" w:rsidRDefault="006E6F91" w:rsidP="00B65C9A">
      <w:pPr>
        <w:jc w:val="both"/>
        <w:rPr>
          <w:sz w:val="28"/>
          <w:szCs w:val="28"/>
        </w:rPr>
      </w:pPr>
    </w:p>
    <w:p w:rsidR="00265EAD" w:rsidRPr="00265EAD" w:rsidRDefault="00265EAD" w:rsidP="00B65C9A">
      <w:pPr>
        <w:jc w:val="both"/>
        <w:rPr>
          <w:sz w:val="28"/>
          <w:szCs w:val="28"/>
        </w:rPr>
      </w:pPr>
    </w:p>
    <w:p w:rsidR="00265EAD" w:rsidRPr="00265EAD" w:rsidRDefault="00265EAD" w:rsidP="00B65C9A">
      <w:pPr>
        <w:jc w:val="both"/>
        <w:rPr>
          <w:b/>
          <w:sz w:val="28"/>
          <w:szCs w:val="28"/>
        </w:rPr>
      </w:pPr>
    </w:p>
    <w:p w:rsidR="00997E96" w:rsidRDefault="00997E96" w:rsidP="00B65C9A">
      <w:pPr>
        <w:jc w:val="both"/>
        <w:rPr>
          <w:sz w:val="28"/>
          <w:szCs w:val="28"/>
        </w:rPr>
      </w:pPr>
    </w:p>
    <w:p w:rsidR="00997E96" w:rsidRPr="00997E96" w:rsidRDefault="00997E96" w:rsidP="00B65C9A">
      <w:pPr>
        <w:jc w:val="both"/>
        <w:rPr>
          <w:sz w:val="28"/>
          <w:szCs w:val="28"/>
        </w:rPr>
      </w:pPr>
    </w:p>
    <w:p w:rsidR="00997E96" w:rsidRPr="00997E96" w:rsidRDefault="00997E96" w:rsidP="00B65C9A">
      <w:pPr>
        <w:jc w:val="both"/>
        <w:rPr>
          <w:sz w:val="56"/>
          <w:szCs w:val="56"/>
        </w:rPr>
      </w:pPr>
    </w:p>
    <w:sectPr w:rsidR="00997E96" w:rsidRPr="00997E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B9" w:rsidRDefault="00B742B9" w:rsidP="007323CA">
      <w:pPr>
        <w:spacing w:after="0" w:line="240" w:lineRule="auto"/>
      </w:pPr>
      <w:r>
        <w:separator/>
      </w:r>
    </w:p>
  </w:endnote>
  <w:endnote w:type="continuationSeparator" w:id="0">
    <w:p w:rsidR="00B742B9" w:rsidRDefault="00B742B9" w:rsidP="0073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CA" w:rsidRDefault="007323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CA" w:rsidRDefault="007323C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CA" w:rsidRDefault="007323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B9" w:rsidRDefault="00B742B9" w:rsidP="007323CA">
      <w:pPr>
        <w:spacing w:after="0" w:line="240" w:lineRule="auto"/>
      </w:pPr>
      <w:r>
        <w:separator/>
      </w:r>
    </w:p>
  </w:footnote>
  <w:footnote w:type="continuationSeparator" w:id="0">
    <w:p w:rsidR="00B742B9" w:rsidRDefault="00B742B9" w:rsidP="0073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CA" w:rsidRDefault="007323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CA" w:rsidRDefault="007323C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3CA" w:rsidRDefault="007323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6E81"/>
    <w:multiLevelType w:val="hybridMultilevel"/>
    <w:tmpl w:val="4D66C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F10E5"/>
    <w:multiLevelType w:val="hybridMultilevel"/>
    <w:tmpl w:val="6A92D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21CBC"/>
    <w:multiLevelType w:val="hybridMultilevel"/>
    <w:tmpl w:val="21784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9119B"/>
    <w:multiLevelType w:val="hybridMultilevel"/>
    <w:tmpl w:val="4C64E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F04F1"/>
    <w:multiLevelType w:val="hybridMultilevel"/>
    <w:tmpl w:val="A5D20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96"/>
    <w:rsid w:val="0001058E"/>
    <w:rsid w:val="0001256E"/>
    <w:rsid w:val="00021E77"/>
    <w:rsid w:val="00026CCC"/>
    <w:rsid w:val="00027ACB"/>
    <w:rsid w:val="00033A2F"/>
    <w:rsid w:val="00035A55"/>
    <w:rsid w:val="00037633"/>
    <w:rsid w:val="000470F2"/>
    <w:rsid w:val="00050C63"/>
    <w:rsid w:val="000538D2"/>
    <w:rsid w:val="00053F57"/>
    <w:rsid w:val="0006458E"/>
    <w:rsid w:val="000772C1"/>
    <w:rsid w:val="00083CBB"/>
    <w:rsid w:val="00085C90"/>
    <w:rsid w:val="0009002D"/>
    <w:rsid w:val="00095ED5"/>
    <w:rsid w:val="000965A6"/>
    <w:rsid w:val="000977D5"/>
    <w:rsid w:val="000A7C0C"/>
    <w:rsid w:val="000B5FF7"/>
    <w:rsid w:val="000B65AC"/>
    <w:rsid w:val="000C350F"/>
    <w:rsid w:val="000C390F"/>
    <w:rsid w:val="000E1C17"/>
    <w:rsid w:val="000E4AE2"/>
    <w:rsid w:val="000E6AC9"/>
    <w:rsid w:val="000F6B83"/>
    <w:rsid w:val="00103C95"/>
    <w:rsid w:val="00111971"/>
    <w:rsid w:val="00113C7B"/>
    <w:rsid w:val="00133E74"/>
    <w:rsid w:val="00142257"/>
    <w:rsid w:val="00144A71"/>
    <w:rsid w:val="00156BCA"/>
    <w:rsid w:val="001638D0"/>
    <w:rsid w:val="001750C9"/>
    <w:rsid w:val="001949F0"/>
    <w:rsid w:val="001D35FF"/>
    <w:rsid w:val="001E0523"/>
    <w:rsid w:val="002018E3"/>
    <w:rsid w:val="00232713"/>
    <w:rsid w:val="00235041"/>
    <w:rsid w:val="002426F1"/>
    <w:rsid w:val="00242BC2"/>
    <w:rsid w:val="00262E5E"/>
    <w:rsid w:val="00265EAD"/>
    <w:rsid w:val="002830DB"/>
    <w:rsid w:val="00287427"/>
    <w:rsid w:val="002A1131"/>
    <w:rsid w:val="002A14C7"/>
    <w:rsid w:val="002A5BE0"/>
    <w:rsid w:val="002A6288"/>
    <w:rsid w:val="002B5543"/>
    <w:rsid w:val="002B6E69"/>
    <w:rsid w:val="002D7CD9"/>
    <w:rsid w:val="002E0C77"/>
    <w:rsid w:val="002F51F4"/>
    <w:rsid w:val="002F5F33"/>
    <w:rsid w:val="0030301B"/>
    <w:rsid w:val="00306D9C"/>
    <w:rsid w:val="003353FD"/>
    <w:rsid w:val="003403C9"/>
    <w:rsid w:val="003605E1"/>
    <w:rsid w:val="00377896"/>
    <w:rsid w:val="00386F8E"/>
    <w:rsid w:val="00390454"/>
    <w:rsid w:val="003916FA"/>
    <w:rsid w:val="003963E2"/>
    <w:rsid w:val="003B14D7"/>
    <w:rsid w:val="003B7E21"/>
    <w:rsid w:val="003D30CC"/>
    <w:rsid w:val="003D6BDF"/>
    <w:rsid w:val="003D7C0A"/>
    <w:rsid w:val="003E14C5"/>
    <w:rsid w:val="003F4F1A"/>
    <w:rsid w:val="003F5D45"/>
    <w:rsid w:val="004057CD"/>
    <w:rsid w:val="00405D6A"/>
    <w:rsid w:val="00413183"/>
    <w:rsid w:val="004141F8"/>
    <w:rsid w:val="00417229"/>
    <w:rsid w:val="0042585B"/>
    <w:rsid w:val="0043036C"/>
    <w:rsid w:val="00441EE8"/>
    <w:rsid w:val="00445A30"/>
    <w:rsid w:val="004576AA"/>
    <w:rsid w:val="00485849"/>
    <w:rsid w:val="0049059C"/>
    <w:rsid w:val="004A2B17"/>
    <w:rsid w:val="004A3C82"/>
    <w:rsid w:val="004A722D"/>
    <w:rsid w:val="004B0C28"/>
    <w:rsid w:val="004B42CC"/>
    <w:rsid w:val="004B48BB"/>
    <w:rsid w:val="004D2525"/>
    <w:rsid w:val="004D4213"/>
    <w:rsid w:val="004E47D5"/>
    <w:rsid w:val="004E596F"/>
    <w:rsid w:val="004E6D18"/>
    <w:rsid w:val="004F6799"/>
    <w:rsid w:val="004F7113"/>
    <w:rsid w:val="0050370B"/>
    <w:rsid w:val="005054C9"/>
    <w:rsid w:val="00510B64"/>
    <w:rsid w:val="0051586C"/>
    <w:rsid w:val="00527430"/>
    <w:rsid w:val="005600F7"/>
    <w:rsid w:val="005870DB"/>
    <w:rsid w:val="0059557B"/>
    <w:rsid w:val="00597DF8"/>
    <w:rsid w:val="005A2744"/>
    <w:rsid w:val="005A69BC"/>
    <w:rsid w:val="005B1922"/>
    <w:rsid w:val="005D0F59"/>
    <w:rsid w:val="005D2C7B"/>
    <w:rsid w:val="005E5FD5"/>
    <w:rsid w:val="005F00D8"/>
    <w:rsid w:val="0060096A"/>
    <w:rsid w:val="00613F0E"/>
    <w:rsid w:val="006153AD"/>
    <w:rsid w:val="00617C3B"/>
    <w:rsid w:val="006247FF"/>
    <w:rsid w:val="00640C0A"/>
    <w:rsid w:val="006474C9"/>
    <w:rsid w:val="0065252E"/>
    <w:rsid w:val="00662442"/>
    <w:rsid w:val="006A3303"/>
    <w:rsid w:val="006A5EDB"/>
    <w:rsid w:val="006B696E"/>
    <w:rsid w:val="006C0172"/>
    <w:rsid w:val="006C61A0"/>
    <w:rsid w:val="006D626D"/>
    <w:rsid w:val="006D7AF8"/>
    <w:rsid w:val="006E1D14"/>
    <w:rsid w:val="006E6F91"/>
    <w:rsid w:val="006E7AD2"/>
    <w:rsid w:val="006F38F3"/>
    <w:rsid w:val="007034C3"/>
    <w:rsid w:val="00711824"/>
    <w:rsid w:val="007138D8"/>
    <w:rsid w:val="007323CA"/>
    <w:rsid w:val="00736818"/>
    <w:rsid w:val="00753F3C"/>
    <w:rsid w:val="007565E4"/>
    <w:rsid w:val="00762C6A"/>
    <w:rsid w:val="00777D16"/>
    <w:rsid w:val="00791C89"/>
    <w:rsid w:val="007962C4"/>
    <w:rsid w:val="007B1989"/>
    <w:rsid w:val="007B43F2"/>
    <w:rsid w:val="007C50B5"/>
    <w:rsid w:val="007D3A99"/>
    <w:rsid w:val="007E0A8E"/>
    <w:rsid w:val="0080766E"/>
    <w:rsid w:val="008310D5"/>
    <w:rsid w:val="0083251B"/>
    <w:rsid w:val="00841F90"/>
    <w:rsid w:val="0085072C"/>
    <w:rsid w:val="00854796"/>
    <w:rsid w:val="0088084F"/>
    <w:rsid w:val="00893F51"/>
    <w:rsid w:val="008B0937"/>
    <w:rsid w:val="008B1994"/>
    <w:rsid w:val="008B1D68"/>
    <w:rsid w:val="008B69AA"/>
    <w:rsid w:val="008C2563"/>
    <w:rsid w:val="008E1936"/>
    <w:rsid w:val="00910947"/>
    <w:rsid w:val="00912C69"/>
    <w:rsid w:val="00914119"/>
    <w:rsid w:val="0092076C"/>
    <w:rsid w:val="00924518"/>
    <w:rsid w:val="00925ABB"/>
    <w:rsid w:val="00937855"/>
    <w:rsid w:val="00946382"/>
    <w:rsid w:val="0094704E"/>
    <w:rsid w:val="0094779F"/>
    <w:rsid w:val="00950C1F"/>
    <w:rsid w:val="00953A9E"/>
    <w:rsid w:val="00955E2C"/>
    <w:rsid w:val="009724B6"/>
    <w:rsid w:val="0098510C"/>
    <w:rsid w:val="0099023A"/>
    <w:rsid w:val="00997E96"/>
    <w:rsid w:val="009A0169"/>
    <w:rsid w:val="009A0B4A"/>
    <w:rsid w:val="009B2C97"/>
    <w:rsid w:val="009C5D3E"/>
    <w:rsid w:val="009C5F4C"/>
    <w:rsid w:val="009D5875"/>
    <w:rsid w:val="009F45E4"/>
    <w:rsid w:val="00A01227"/>
    <w:rsid w:val="00A13D52"/>
    <w:rsid w:val="00A14688"/>
    <w:rsid w:val="00A14E28"/>
    <w:rsid w:val="00A22269"/>
    <w:rsid w:val="00A2454B"/>
    <w:rsid w:val="00A26631"/>
    <w:rsid w:val="00A4134A"/>
    <w:rsid w:val="00A46D8F"/>
    <w:rsid w:val="00A47325"/>
    <w:rsid w:val="00A518D9"/>
    <w:rsid w:val="00A61B99"/>
    <w:rsid w:val="00A63491"/>
    <w:rsid w:val="00A65443"/>
    <w:rsid w:val="00A7105E"/>
    <w:rsid w:val="00A76B51"/>
    <w:rsid w:val="00A77364"/>
    <w:rsid w:val="00A82A87"/>
    <w:rsid w:val="00A9664E"/>
    <w:rsid w:val="00AC2691"/>
    <w:rsid w:val="00AD153C"/>
    <w:rsid w:val="00AE2536"/>
    <w:rsid w:val="00AF018A"/>
    <w:rsid w:val="00AF5FE0"/>
    <w:rsid w:val="00AF732D"/>
    <w:rsid w:val="00AF75BF"/>
    <w:rsid w:val="00B14215"/>
    <w:rsid w:val="00B37631"/>
    <w:rsid w:val="00B50C62"/>
    <w:rsid w:val="00B65C9A"/>
    <w:rsid w:val="00B6776C"/>
    <w:rsid w:val="00B729D0"/>
    <w:rsid w:val="00B742B9"/>
    <w:rsid w:val="00B83932"/>
    <w:rsid w:val="00BB4758"/>
    <w:rsid w:val="00BB7537"/>
    <w:rsid w:val="00BE07C6"/>
    <w:rsid w:val="00BE40DA"/>
    <w:rsid w:val="00BF06C0"/>
    <w:rsid w:val="00BF3225"/>
    <w:rsid w:val="00C002B8"/>
    <w:rsid w:val="00C04A7B"/>
    <w:rsid w:val="00C121B3"/>
    <w:rsid w:val="00C17185"/>
    <w:rsid w:val="00C27E2A"/>
    <w:rsid w:val="00C43E6D"/>
    <w:rsid w:val="00C46D05"/>
    <w:rsid w:val="00C66423"/>
    <w:rsid w:val="00C81AF7"/>
    <w:rsid w:val="00C81E11"/>
    <w:rsid w:val="00C82C03"/>
    <w:rsid w:val="00C96C1A"/>
    <w:rsid w:val="00CA00DC"/>
    <w:rsid w:val="00CA3256"/>
    <w:rsid w:val="00CA4E42"/>
    <w:rsid w:val="00CB766D"/>
    <w:rsid w:val="00CC47FD"/>
    <w:rsid w:val="00CC649D"/>
    <w:rsid w:val="00CE1846"/>
    <w:rsid w:val="00CF120A"/>
    <w:rsid w:val="00CF3B03"/>
    <w:rsid w:val="00D043A6"/>
    <w:rsid w:val="00D07679"/>
    <w:rsid w:val="00D23D76"/>
    <w:rsid w:val="00D27963"/>
    <w:rsid w:val="00D703A1"/>
    <w:rsid w:val="00D71CD3"/>
    <w:rsid w:val="00D875CE"/>
    <w:rsid w:val="00D875EF"/>
    <w:rsid w:val="00DA2940"/>
    <w:rsid w:val="00DB3A4E"/>
    <w:rsid w:val="00DD1396"/>
    <w:rsid w:val="00DE481F"/>
    <w:rsid w:val="00E13520"/>
    <w:rsid w:val="00E15A04"/>
    <w:rsid w:val="00E417DE"/>
    <w:rsid w:val="00E7006B"/>
    <w:rsid w:val="00E8358E"/>
    <w:rsid w:val="00E8762C"/>
    <w:rsid w:val="00E952C6"/>
    <w:rsid w:val="00EA0325"/>
    <w:rsid w:val="00EA3747"/>
    <w:rsid w:val="00EC329A"/>
    <w:rsid w:val="00ED2EA3"/>
    <w:rsid w:val="00EE3B8A"/>
    <w:rsid w:val="00EE4855"/>
    <w:rsid w:val="00EE7DC5"/>
    <w:rsid w:val="00F0014C"/>
    <w:rsid w:val="00F023DE"/>
    <w:rsid w:val="00F04424"/>
    <w:rsid w:val="00F106AD"/>
    <w:rsid w:val="00F108DF"/>
    <w:rsid w:val="00F14872"/>
    <w:rsid w:val="00F22C90"/>
    <w:rsid w:val="00F23D18"/>
    <w:rsid w:val="00F30A0C"/>
    <w:rsid w:val="00F32B2D"/>
    <w:rsid w:val="00F432DA"/>
    <w:rsid w:val="00F544F3"/>
    <w:rsid w:val="00F65E43"/>
    <w:rsid w:val="00F92C9F"/>
    <w:rsid w:val="00F9605C"/>
    <w:rsid w:val="00FA0587"/>
    <w:rsid w:val="00FA71C9"/>
    <w:rsid w:val="00FB17C9"/>
    <w:rsid w:val="00FB2105"/>
    <w:rsid w:val="00FD3661"/>
    <w:rsid w:val="00FE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BC639B-6D3E-4427-8E60-1BC115B0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E96"/>
    <w:rPr>
      <w:rFonts w:ascii="Tahoma" w:hAnsi="Tahoma" w:cs="Tahoma"/>
      <w:sz w:val="16"/>
      <w:szCs w:val="16"/>
    </w:rPr>
  </w:style>
  <w:style w:type="paragraph" w:styleId="ListParagraph">
    <w:name w:val="List Paragraph"/>
    <w:basedOn w:val="Normal"/>
    <w:uiPriority w:val="34"/>
    <w:qFormat/>
    <w:rsid w:val="00791C89"/>
    <w:pPr>
      <w:ind w:left="720"/>
      <w:contextualSpacing/>
    </w:pPr>
  </w:style>
  <w:style w:type="paragraph" w:styleId="Header">
    <w:name w:val="header"/>
    <w:basedOn w:val="Normal"/>
    <w:link w:val="HeaderChar"/>
    <w:uiPriority w:val="99"/>
    <w:unhideWhenUsed/>
    <w:rsid w:val="00732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CA"/>
  </w:style>
  <w:style w:type="paragraph" w:styleId="Footer">
    <w:name w:val="footer"/>
    <w:basedOn w:val="Normal"/>
    <w:link w:val="FooterChar"/>
    <w:uiPriority w:val="99"/>
    <w:unhideWhenUsed/>
    <w:rsid w:val="00732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AAF6-1F22-4F63-8254-D343FC4B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Koortzen</dc:creator>
  <cp:lastModifiedBy>Ayanda AW. Ngwenya</cp:lastModifiedBy>
  <cp:revision>2</cp:revision>
  <cp:lastPrinted>2016-05-10T13:09:00Z</cp:lastPrinted>
  <dcterms:created xsi:type="dcterms:W3CDTF">2021-03-23T12:28:00Z</dcterms:created>
  <dcterms:modified xsi:type="dcterms:W3CDTF">2021-03-23T12:28:00Z</dcterms:modified>
</cp:coreProperties>
</file>